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51"/>
        <w:gridCol w:w="9051"/>
      </w:tblGrid>
      <w:tr w:rsidR="0011459E" w14:paraId="425FF334" w14:textId="77777777" w:rsidTr="0011459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2C3DE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Study Background/ Objectives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10B4B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:</w:t>
            </w:r>
          </w:p>
        </w:tc>
        <w:tc>
          <w:tcPr>
            <w:tcW w:w="8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B0872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 xml:space="preserve">To understand physicians’ opinion, </w:t>
            </w:r>
            <w:proofErr w:type="gramStart"/>
            <w:r>
              <w:rPr>
                <w:color w:val="313131"/>
              </w:rPr>
              <w:t>perceptions</w:t>
            </w:r>
            <w:proofErr w:type="gramEnd"/>
            <w:r>
              <w:rPr>
                <w:color w:val="313131"/>
              </w:rPr>
              <w:t xml:space="preserve"> and feedback about the point-of-care devices</w:t>
            </w:r>
          </w:p>
        </w:tc>
      </w:tr>
      <w:tr w:rsidR="0011459E" w14:paraId="292DBE25" w14:textId="77777777" w:rsidTr="0011459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1DA0B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Methodology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6D520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: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B13A7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Qualitative</w:t>
            </w:r>
          </w:p>
        </w:tc>
      </w:tr>
      <w:tr w:rsidR="0011459E" w14:paraId="4EB054B5" w14:textId="77777777" w:rsidTr="0011459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44810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Type of Service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D779E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: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287CB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Recruitment and Fieldwork</w:t>
            </w:r>
          </w:p>
        </w:tc>
      </w:tr>
      <w:tr w:rsidR="0011459E" w14:paraId="1D84E6B5" w14:textId="77777777" w:rsidTr="0011459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E8C0D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Target Respondent(s)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FC8EF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: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C361F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Diabetologist/ Endocrinologist and CPs</w:t>
            </w:r>
          </w:p>
        </w:tc>
      </w:tr>
      <w:tr w:rsidR="0011459E" w14:paraId="7FAB3F79" w14:textId="77777777" w:rsidTr="0011459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35E03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Sample Size/ Unit/ Volume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A4BAB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: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tbl>
            <w:tblPr>
              <w:tblW w:w="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1377"/>
              <w:gridCol w:w="1455"/>
              <w:gridCol w:w="1129"/>
              <w:gridCol w:w="1468"/>
              <w:gridCol w:w="750"/>
              <w:gridCol w:w="966"/>
            </w:tblGrid>
            <w:tr w:rsidR="0011459E" w14:paraId="7BE667A0" w14:textId="77777777" w:rsidTr="0011459E">
              <w:trPr>
                <w:trHeight w:val="20"/>
              </w:trPr>
              <w:tc>
                <w:tcPr>
                  <w:tcW w:w="1786" w:type="dxa"/>
                  <w:vMerge w:val="restart"/>
                  <w:tcBorders>
                    <w:top w:val="single" w:sz="12" w:space="0" w:color="2B3A42"/>
                    <w:left w:val="single" w:sz="12" w:space="0" w:color="2B3A42"/>
                    <w:bottom w:val="single" w:sz="8" w:space="0" w:color="2B3A42"/>
                    <w:right w:val="single" w:sz="12" w:space="0" w:color="2B3A42"/>
                  </w:tcBorders>
                  <w:shd w:val="clear" w:color="auto" w:fill="0082CD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4285A9E6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0" w:name="_Hlk140593205"/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CITIES</w:t>
                  </w:r>
                </w:p>
              </w:tc>
              <w:tc>
                <w:tcPr>
                  <w:tcW w:w="2832" w:type="dxa"/>
                  <w:gridSpan w:val="2"/>
                  <w:tcBorders>
                    <w:top w:val="single" w:sz="12" w:space="0" w:color="2B3A42"/>
                    <w:left w:val="nil"/>
                    <w:bottom w:val="single" w:sz="8" w:space="0" w:color="2B3A42"/>
                    <w:right w:val="single" w:sz="12" w:space="0" w:color="2B3A42"/>
                  </w:tcBorders>
                  <w:shd w:val="clear" w:color="auto" w:fill="0082CD"/>
                  <w:tcMar>
                    <w:top w:w="144" w:type="dxa"/>
                    <w:left w:w="144" w:type="dxa"/>
                    <w:bottom w:w="144" w:type="dxa"/>
                    <w:right w:w="144" w:type="dxa"/>
                  </w:tcMar>
                  <w:vAlign w:val="center"/>
                  <w:hideMark/>
                </w:tcPr>
                <w:p w14:paraId="1CD3C109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HCPs</w:t>
                  </w:r>
                </w:p>
              </w:tc>
              <w:tc>
                <w:tcPr>
                  <w:tcW w:w="2597" w:type="dxa"/>
                  <w:gridSpan w:val="2"/>
                  <w:tcBorders>
                    <w:top w:val="single" w:sz="12" w:space="0" w:color="2B3A42"/>
                    <w:left w:val="nil"/>
                    <w:bottom w:val="single" w:sz="8" w:space="0" w:color="2B3A42"/>
                    <w:right w:val="single" w:sz="12" w:space="0" w:color="2B3A42"/>
                  </w:tcBorders>
                  <w:shd w:val="clear" w:color="auto" w:fill="0082CD"/>
                  <w:tcMar>
                    <w:top w:w="144" w:type="dxa"/>
                    <w:left w:w="144" w:type="dxa"/>
                    <w:bottom w:w="144" w:type="dxa"/>
                    <w:right w:w="144" w:type="dxa"/>
                  </w:tcMar>
                  <w:vAlign w:val="center"/>
                  <w:hideMark/>
                </w:tcPr>
                <w:p w14:paraId="02A14001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POC DEVICE USERSHIP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single" w:sz="12" w:space="0" w:color="2B3A42"/>
                    <w:left w:val="nil"/>
                    <w:bottom w:val="single" w:sz="8" w:space="0" w:color="2B3A42"/>
                    <w:right w:val="single" w:sz="12" w:space="0" w:color="2B3A42"/>
                  </w:tcBorders>
                  <w:shd w:val="clear" w:color="auto" w:fill="0082CD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F210FA5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SUB-TOTAL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single" w:sz="12" w:space="0" w:color="2B3A42"/>
                    <w:left w:val="nil"/>
                    <w:bottom w:val="single" w:sz="8" w:space="0" w:color="2B3A42"/>
                    <w:right w:val="single" w:sz="12" w:space="0" w:color="2B3A42"/>
                  </w:tcBorders>
                  <w:shd w:val="clear" w:color="auto" w:fill="0082CD"/>
                  <w:vAlign w:val="center"/>
                  <w:hideMark/>
                </w:tcPr>
                <w:p w14:paraId="3262305E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TOTAL</w:t>
                  </w:r>
                </w:p>
              </w:tc>
            </w:tr>
            <w:tr w:rsidR="0011459E" w14:paraId="71E32A10" w14:textId="77777777" w:rsidTr="0011459E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2B3A42"/>
                    <w:left w:val="single" w:sz="12" w:space="0" w:color="2B3A42"/>
                    <w:bottom w:val="single" w:sz="8" w:space="0" w:color="2B3A42"/>
                    <w:right w:val="single" w:sz="12" w:space="0" w:color="2B3A42"/>
                  </w:tcBorders>
                  <w:vAlign w:val="center"/>
                  <w:hideMark/>
                </w:tcPr>
                <w:p w14:paraId="51227164" w14:textId="77777777" w:rsidR="0011459E" w:rsidRDefault="001145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shd w:val="clear" w:color="auto" w:fill="0082CD"/>
                  <w:tcMar>
                    <w:top w:w="144" w:type="dxa"/>
                    <w:left w:w="144" w:type="dxa"/>
                    <w:bottom w:w="144" w:type="dxa"/>
                    <w:right w:w="144" w:type="dxa"/>
                  </w:tcMar>
                  <w:vAlign w:val="center"/>
                  <w:hideMark/>
                </w:tcPr>
                <w:p w14:paraId="3164E45E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DIAB/ENDO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shd w:val="clear" w:color="auto" w:fill="0082CD"/>
                  <w:tcMar>
                    <w:top w:w="144" w:type="dxa"/>
                    <w:left w:w="144" w:type="dxa"/>
                    <w:bottom w:w="144" w:type="dxa"/>
                    <w:right w:w="144" w:type="dxa"/>
                  </w:tcMar>
                  <w:vAlign w:val="center"/>
                  <w:hideMark/>
                </w:tcPr>
                <w:p w14:paraId="0699B83A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CPs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shd w:val="clear" w:color="auto" w:fill="0082CD"/>
                  <w:tcMar>
                    <w:top w:w="144" w:type="dxa"/>
                    <w:left w:w="144" w:type="dxa"/>
                    <w:bottom w:w="144" w:type="dxa"/>
                    <w:right w:w="144" w:type="dxa"/>
                  </w:tcMar>
                  <w:vAlign w:val="center"/>
                  <w:hideMark/>
                </w:tcPr>
                <w:p w14:paraId="523D46E3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POC USERS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shd w:val="clear" w:color="auto" w:fill="0082CD"/>
                  <w:tcMar>
                    <w:top w:w="144" w:type="dxa"/>
                    <w:left w:w="144" w:type="dxa"/>
                    <w:bottom w:w="144" w:type="dxa"/>
                    <w:right w:w="144" w:type="dxa"/>
                  </w:tcMar>
                  <w:vAlign w:val="center"/>
                  <w:hideMark/>
                </w:tcPr>
                <w:p w14:paraId="13D546B0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POC NON-USERS</w:t>
                  </w:r>
                </w:p>
              </w:tc>
              <w:tc>
                <w:tcPr>
                  <w:tcW w:w="750" w:type="dxa"/>
                  <w:vMerge/>
                  <w:tcBorders>
                    <w:top w:val="single" w:sz="12" w:space="0" w:color="2B3A42"/>
                    <w:left w:val="nil"/>
                    <w:bottom w:val="single" w:sz="8" w:space="0" w:color="2B3A42"/>
                    <w:right w:val="single" w:sz="12" w:space="0" w:color="2B3A42"/>
                  </w:tcBorders>
                  <w:vAlign w:val="center"/>
                  <w:hideMark/>
                </w:tcPr>
                <w:p w14:paraId="780587B4" w14:textId="77777777" w:rsidR="0011459E" w:rsidRDefault="001145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2B3A42"/>
                    <w:left w:val="nil"/>
                    <w:bottom w:val="single" w:sz="8" w:space="0" w:color="2B3A42"/>
                    <w:right w:val="single" w:sz="12" w:space="0" w:color="2B3A42"/>
                  </w:tcBorders>
                  <w:vAlign w:val="center"/>
                  <w:hideMark/>
                </w:tcPr>
                <w:p w14:paraId="07340652" w14:textId="77777777" w:rsidR="0011459E" w:rsidRDefault="001145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1459E" w14:paraId="71697DBB" w14:textId="77777777" w:rsidTr="0011459E">
              <w:trPr>
                <w:trHeight w:val="258"/>
              </w:trPr>
              <w:tc>
                <w:tcPr>
                  <w:tcW w:w="1786" w:type="dxa"/>
                  <w:tcBorders>
                    <w:top w:val="nil"/>
                    <w:left w:val="single" w:sz="12" w:space="0" w:color="2B3A42"/>
                    <w:bottom w:val="single" w:sz="8" w:space="0" w:color="2B3A42"/>
                    <w:right w:val="single" w:sz="12" w:space="0" w:color="2B3A42"/>
                  </w:tcBorders>
                  <w:tcMar>
                    <w:top w:w="12" w:type="dxa"/>
                    <w:left w:w="144" w:type="dxa"/>
                    <w:bottom w:w="0" w:type="dxa"/>
                    <w:right w:w="12" w:type="dxa"/>
                  </w:tcMar>
                  <w:vAlign w:val="center"/>
                  <w:hideMark/>
                </w:tcPr>
                <w:p w14:paraId="32D1A372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DELHI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F781B2A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DB6F06D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325B17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CDD64DC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44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4732E27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vAlign w:val="center"/>
                  <w:hideMark/>
                </w:tcPr>
                <w:p w14:paraId="31BE6D07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</w:t>
                  </w:r>
                </w:p>
              </w:tc>
            </w:tr>
            <w:tr w:rsidR="0011459E" w14:paraId="1C5B2B6B" w14:textId="77777777" w:rsidTr="0011459E">
              <w:trPr>
                <w:trHeight w:val="258"/>
              </w:trPr>
              <w:tc>
                <w:tcPr>
                  <w:tcW w:w="1786" w:type="dxa"/>
                  <w:tcBorders>
                    <w:top w:val="nil"/>
                    <w:left w:val="single" w:sz="12" w:space="0" w:color="2B3A42"/>
                    <w:bottom w:val="single" w:sz="8" w:space="0" w:color="2B3A42"/>
                    <w:right w:val="single" w:sz="12" w:space="0" w:color="2B3A42"/>
                  </w:tcBorders>
                  <w:tcMar>
                    <w:top w:w="12" w:type="dxa"/>
                    <w:left w:w="144" w:type="dxa"/>
                    <w:bottom w:w="0" w:type="dxa"/>
                    <w:right w:w="12" w:type="dxa"/>
                  </w:tcMar>
                  <w:vAlign w:val="center"/>
                  <w:hideMark/>
                </w:tcPr>
                <w:p w14:paraId="7709671E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BANGALORE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EC5D13A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5F86421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261975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1AB84AF" w14:textId="77777777" w:rsidR="0011459E" w:rsidRDefault="0011459E">
                  <w:pPr>
                    <w:ind w:left="-610" w:firstLine="61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44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C0DE59F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vAlign w:val="center"/>
                  <w:hideMark/>
                </w:tcPr>
                <w:p w14:paraId="2C2ED982" w14:textId="77777777" w:rsidR="0011459E" w:rsidRDefault="001145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1459E" w14:paraId="5CB5FC62" w14:textId="77777777" w:rsidTr="0011459E">
              <w:trPr>
                <w:trHeight w:val="258"/>
              </w:trPr>
              <w:tc>
                <w:tcPr>
                  <w:tcW w:w="1786" w:type="dxa"/>
                  <w:tcBorders>
                    <w:top w:val="nil"/>
                    <w:left w:val="single" w:sz="12" w:space="0" w:color="2B3A42"/>
                    <w:bottom w:val="single" w:sz="8" w:space="0" w:color="2B3A42"/>
                    <w:right w:val="single" w:sz="12" w:space="0" w:color="2B3A42"/>
                  </w:tcBorders>
                  <w:tcMar>
                    <w:top w:w="12" w:type="dxa"/>
                    <w:left w:w="144" w:type="dxa"/>
                    <w:bottom w:w="0" w:type="dxa"/>
                    <w:right w:w="12" w:type="dxa"/>
                  </w:tcMar>
                  <w:vAlign w:val="center"/>
                  <w:hideMark/>
                </w:tcPr>
                <w:p w14:paraId="709D5D84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JAIPUR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0199340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032F9A8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A08217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EAB80F2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44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47EC6E4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vAlign w:val="center"/>
                  <w:hideMark/>
                </w:tcPr>
                <w:p w14:paraId="5EA0DFC9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</w:tr>
            <w:tr w:rsidR="0011459E" w14:paraId="2706125F" w14:textId="77777777" w:rsidTr="0011459E">
              <w:trPr>
                <w:trHeight w:val="258"/>
              </w:trPr>
              <w:tc>
                <w:tcPr>
                  <w:tcW w:w="1786" w:type="dxa"/>
                  <w:tcBorders>
                    <w:top w:val="nil"/>
                    <w:left w:val="single" w:sz="12" w:space="0" w:color="2B3A42"/>
                    <w:bottom w:val="single" w:sz="8" w:space="0" w:color="2B3A42"/>
                    <w:right w:val="single" w:sz="12" w:space="0" w:color="2B3A42"/>
                  </w:tcBorders>
                  <w:tcMar>
                    <w:top w:w="12" w:type="dxa"/>
                    <w:left w:w="144" w:type="dxa"/>
                    <w:bottom w:w="0" w:type="dxa"/>
                    <w:right w:w="12" w:type="dxa"/>
                  </w:tcMar>
                  <w:vAlign w:val="center"/>
                  <w:hideMark/>
                </w:tcPr>
                <w:p w14:paraId="4CA017B0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AHMEDABAD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4B99DD8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FE93851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12254E4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1F8405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44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D18A1D0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vAlign w:val="center"/>
                  <w:hideMark/>
                </w:tcPr>
                <w:p w14:paraId="550474EA" w14:textId="77777777" w:rsidR="0011459E" w:rsidRDefault="001145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1459E" w14:paraId="73677183" w14:textId="77777777" w:rsidTr="0011459E">
              <w:trPr>
                <w:trHeight w:val="258"/>
              </w:trPr>
              <w:tc>
                <w:tcPr>
                  <w:tcW w:w="1786" w:type="dxa"/>
                  <w:tcBorders>
                    <w:top w:val="nil"/>
                    <w:left w:val="single" w:sz="12" w:space="0" w:color="2B3A42"/>
                    <w:bottom w:val="single" w:sz="8" w:space="0" w:color="2B3A42"/>
                    <w:right w:val="single" w:sz="12" w:space="0" w:color="2B3A42"/>
                  </w:tcBorders>
                  <w:tcMar>
                    <w:top w:w="12" w:type="dxa"/>
                    <w:left w:w="144" w:type="dxa"/>
                    <w:bottom w:w="0" w:type="dxa"/>
                    <w:right w:w="12" w:type="dxa"/>
                  </w:tcMar>
                  <w:vAlign w:val="center"/>
                  <w:hideMark/>
                </w:tcPr>
                <w:p w14:paraId="2EFB866D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NASIK OR MEERUT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260DB1E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8C2C75E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3674734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C236F81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44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6798AFF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vAlign w:val="center"/>
                  <w:hideMark/>
                </w:tcPr>
                <w:p w14:paraId="1FD6181A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</w:t>
                  </w:r>
                </w:p>
              </w:tc>
            </w:tr>
            <w:tr w:rsidR="0011459E" w14:paraId="4547030E" w14:textId="77777777" w:rsidTr="0011459E">
              <w:trPr>
                <w:trHeight w:val="258"/>
              </w:trPr>
              <w:tc>
                <w:tcPr>
                  <w:tcW w:w="1786" w:type="dxa"/>
                  <w:tcBorders>
                    <w:top w:val="nil"/>
                    <w:left w:val="single" w:sz="12" w:space="0" w:color="2B3A42"/>
                    <w:bottom w:val="single" w:sz="8" w:space="0" w:color="2B3A42"/>
                    <w:right w:val="single" w:sz="12" w:space="0" w:color="2B3A42"/>
                  </w:tcBorders>
                  <w:tcMar>
                    <w:top w:w="12" w:type="dxa"/>
                    <w:left w:w="144" w:type="dxa"/>
                    <w:bottom w:w="0" w:type="dxa"/>
                    <w:right w:w="12" w:type="dxa"/>
                  </w:tcMar>
                  <w:vAlign w:val="center"/>
                  <w:hideMark/>
                </w:tcPr>
                <w:p w14:paraId="627AA726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VIJAYWADA OR MADURAI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66B40B0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B9D5849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2B3A42"/>
                    <w:right w:val="single" w:sz="8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50B2C6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8E72FFF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tcMar>
                    <w:top w:w="15" w:type="dxa"/>
                    <w:left w:w="144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2909DA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2B3A42"/>
                    <w:right w:val="single" w:sz="12" w:space="0" w:color="2B3A42"/>
                  </w:tcBorders>
                  <w:vAlign w:val="center"/>
                  <w:hideMark/>
                </w:tcPr>
                <w:p w14:paraId="496BBD39" w14:textId="77777777" w:rsidR="0011459E" w:rsidRDefault="001145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1459E" w14:paraId="1B5FECA9" w14:textId="77777777" w:rsidTr="0011459E">
              <w:trPr>
                <w:trHeight w:val="257"/>
              </w:trPr>
              <w:tc>
                <w:tcPr>
                  <w:tcW w:w="1786" w:type="dxa"/>
                  <w:tcBorders>
                    <w:top w:val="nil"/>
                    <w:left w:val="single" w:sz="12" w:space="0" w:color="2B3A42"/>
                    <w:bottom w:val="single" w:sz="12" w:space="0" w:color="2B3A42"/>
                    <w:right w:val="single" w:sz="12" w:space="0" w:color="2B3A42"/>
                  </w:tcBorders>
                  <w:shd w:val="clear" w:color="auto" w:fill="2B3A42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504D17A3" w14:textId="77777777" w:rsidR="0011459E" w:rsidRDefault="001145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2B3A42"/>
                    <w:right w:val="single" w:sz="8" w:space="0" w:color="2B3A42"/>
                  </w:tcBorders>
                  <w:shd w:val="clear" w:color="auto" w:fill="FCF0D3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3890A31B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12" w:space="0" w:color="2B3A42"/>
                    <w:right w:val="single" w:sz="12" w:space="0" w:color="2B3A42"/>
                  </w:tcBorders>
                  <w:shd w:val="clear" w:color="auto" w:fill="FCF0D3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FCE02F3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12" w:space="0" w:color="2B3A42"/>
                    <w:right w:val="single" w:sz="8" w:space="0" w:color="2B3A42"/>
                  </w:tcBorders>
                  <w:shd w:val="clear" w:color="auto" w:fill="FCF0D3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3D53EA56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12" w:space="0" w:color="2B3A42"/>
                    <w:right w:val="single" w:sz="12" w:space="0" w:color="2B3A42"/>
                  </w:tcBorders>
                  <w:shd w:val="clear" w:color="auto" w:fill="FCF0D3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5751B8B6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716" w:type="dxa"/>
                  <w:gridSpan w:val="2"/>
                  <w:tcBorders>
                    <w:top w:val="nil"/>
                    <w:left w:val="nil"/>
                    <w:bottom w:val="single" w:sz="12" w:space="0" w:color="2B3A42"/>
                    <w:right w:val="single" w:sz="12" w:space="0" w:color="2B3A42"/>
                  </w:tcBorders>
                  <w:shd w:val="clear" w:color="auto" w:fill="FCF0D3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7528054A" w14:textId="77777777" w:rsidR="0011459E" w:rsidRDefault="001145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bookmarkEnd w:id="0"/>
            </w:tr>
          </w:tbl>
          <w:p w14:paraId="4A06BDC6" w14:textId="77777777" w:rsidR="0011459E" w:rsidRDefault="001145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59E" w14:paraId="2268C5B5" w14:textId="77777777" w:rsidTr="0011459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F1066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Length of Interview (LOI)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4F43E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: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ACA89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 xml:space="preserve">60 minutes </w:t>
            </w:r>
          </w:p>
        </w:tc>
      </w:tr>
      <w:tr w:rsidR="0011459E" w14:paraId="79A75363" w14:textId="77777777" w:rsidTr="0011459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585B9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Work Commencing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7E34C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: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7B353" w14:textId="77777777" w:rsidR="0011459E" w:rsidRDefault="0011459E">
            <w:pPr>
              <w:rPr>
                <w:sz w:val="22"/>
                <w:szCs w:val="22"/>
              </w:rPr>
            </w:pPr>
            <w:r>
              <w:rPr>
                <w:color w:val="313131"/>
              </w:rPr>
              <w:t>25th September (Tentative)</w:t>
            </w:r>
          </w:p>
        </w:tc>
      </w:tr>
    </w:tbl>
    <w:p w14:paraId="3CB4DC44" w14:textId="77777777" w:rsidR="00061D72" w:rsidRDefault="00061D72"/>
    <w:p w14:paraId="01E985AE" w14:textId="77777777" w:rsidR="0011459E" w:rsidRDefault="0011459E" w:rsidP="0011459E">
      <w:pPr>
        <w:rPr>
          <w:sz w:val="22"/>
          <w:szCs w:val="22"/>
          <w:lang w:val="en-IN"/>
        </w:rPr>
      </w:pPr>
      <w:r>
        <w:rPr>
          <w:sz w:val="22"/>
          <w:szCs w:val="22"/>
        </w:rPr>
        <w:t>Quotas to be followed in the study are:</w:t>
      </w:r>
    </w:p>
    <w:p w14:paraId="76BA09AC" w14:textId="77777777" w:rsidR="0011459E" w:rsidRDefault="0011459E" w:rsidP="0011459E">
      <w:pPr>
        <w:pStyle w:val="BodyText"/>
        <w:numPr>
          <w:ilvl w:val="0"/>
          <w:numId w:val="1"/>
        </w:numPr>
        <w:spacing w:line="240" w:lineRule="auto"/>
        <w:rPr>
          <w:color w:val="000000"/>
          <w:sz w:val="18"/>
          <w:szCs w:val="18"/>
          <w:lang w:val="en-IN"/>
        </w:rPr>
      </w:pPr>
      <w:r>
        <w:rPr>
          <w:rFonts w:ascii="Calibri" w:hAnsi="Calibri"/>
          <w:b/>
          <w:bCs/>
          <w:color w:val="000000"/>
        </w:rPr>
        <w:t xml:space="preserve">MIX OF YOUNG AND EXPERIENCED DOCTORS </w:t>
      </w:r>
    </w:p>
    <w:p w14:paraId="5A1204CB" w14:textId="77777777" w:rsidR="0011459E" w:rsidRDefault="0011459E" w:rsidP="0011459E">
      <w:pPr>
        <w:pStyle w:val="BodyText"/>
        <w:spacing w:line="240" w:lineRule="auto"/>
        <w:ind w:left="720"/>
        <w:rPr>
          <w:sz w:val="20"/>
          <w:szCs w:val="20"/>
          <w:lang w:val="en-IN"/>
        </w:rPr>
      </w:pPr>
      <w:r>
        <w:rPr>
          <w:rFonts w:ascii="Calibri" w:hAnsi="Calibri"/>
          <w:color w:val="000000"/>
        </w:rPr>
        <w:t>Age (=&lt;45 years): 50% (N=23)</w:t>
      </w:r>
    </w:p>
    <w:p w14:paraId="004ED384" w14:textId="77777777" w:rsidR="0011459E" w:rsidRDefault="0011459E" w:rsidP="0011459E">
      <w:pPr>
        <w:pStyle w:val="BodyText"/>
        <w:spacing w:line="240" w:lineRule="auto"/>
        <w:ind w:left="720"/>
        <w:rPr>
          <w:rFonts w:eastAsia="Times New Roman"/>
          <w:lang w:val="en-IN"/>
        </w:rPr>
      </w:pPr>
      <w:r>
        <w:rPr>
          <w:rFonts w:ascii="Calibri" w:hAnsi="Calibri"/>
          <w:color w:val="000000"/>
        </w:rPr>
        <w:t>Age (&gt;45 years): 50% (N=23)</w:t>
      </w:r>
    </w:p>
    <w:p w14:paraId="6B15146A" w14:textId="77777777" w:rsidR="0011459E" w:rsidRDefault="0011459E" w:rsidP="0011459E">
      <w:pPr>
        <w:pStyle w:val="BodyText"/>
        <w:spacing w:line="240" w:lineRule="auto"/>
        <w:ind w:left="720"/>
        <w:rPr>
          <w:lang w:val="en-IN"/>
        </w:rPr>
      </w:pPr>
      <w:r>
        <w:rPr>
          <w:rFonts w:ascii="Calibri" w:hAnsi="Calibri"/>
          <w:color w:val="000000"/>
        </w:rPr>
        <w:t> </w:t>
      </w:r>
    </w:p>
    <w:p w14:paraId="22BD1FD2" w14:textId="77777777" w:rsidR="0011459E" w:rsidRDefault="0011459E" w:rsidP="0011459E">
      <w:pPr>
        <w:pStyle w:val="BodyText"/>
        <w:numPr>
          <w:ilvl w:val="0"/>
          <w:numId w:val="1"/>
        </w:numPr>
        <w:spacing w:line="240" w:lineRule="auto"/>
        <w:rPr>
          <w:color w:val="000000"/>
          <w:lang w:val="en-IN"/>
        </w:rPr>
      </w:pPr>
      <w:r>
        <w:rPr>
          <w:rFonts w:ascii="Calibri" w:hAnsi="Calibri"/>
          <w:b/>
          <w:bCs/>
          <w:color w:val="000000"/>
        </w:rPr>
        <w:t>KOLS &amp; NON- KOLS</w:t>
      </w:r>
    </w:p>
    <w:p w14:paraId="4C7A8026" w14:textId="77777777" w:rsidR="0011459E" w:rsidRDefault="0011459E" w:rsidP="0011459E">
      <w:pPr>
        <w:pStyle w:val="BodyText"/>
        <w:spacing w:line="240" w:lineRule="auto"/>
        <w:ind w:left="720"/>
        <w:rPr>
          <w:lang w:val="en-IN"/>
        </w:rPr>
      </w:pPr>
      <w:r>
        <w:rPr>
          <w:rFonts w:ascii="Calibri" w:hAnsi="Calibri"/>
          <w:color w:val="000000"/>
        </w:rPr>
        <w:t>KOLs: 20% (N=10)</w:t>
      </w:r>
    </w:p>
    <w:p w14:paraId="129308E0" w14:textId="77777777" w:rsidR="0011459E" w:rsidRDefault="0011459E" w:rsidP="0011459E">
      <w:pPr>
        <w:pStyle w:val="BodyText"/>
        <w:spacing w:line="240" w:lineRule="auto"/>
        <w:ind w:left="720"/>
        <w:rPr>
          <w:rFonts w:eastAsia="Times New Roman"/>
          <w:lang w:val="en-IN"/>
        </w:rPr>
      </w:pPr>
      <w:r>
        <w:rPr>
          <w:rFonts w:ascii="Calibri" w:hAnsi="Calibri"/>
          <w:color w:val="000000"/>
        </w:rPr>
        <w:t>Non- KOLs: 80% (N=36)</w:t>
      </w:r>
    </w:p>
    <w:p w14:paraId="2DC82F66" w14:textId="77777777" w:rsidR="0011459E" w:rsidRDefault="0011459E" w:rsidP="0011459E">
      <w:pPr>
        <w:pStyle w:val="BodyText"/>
        <w:spacing w:line="240" w:lineRule="auto"/>
        <w:ind w:left="720"/>
        <w:rPr>
          <w:lang w:val="en-IN"/>
        </w:rPr>
      </w:pPr>
      <w:r>
        <w:rPr>
          <w:rFonts w:ascii="Calibri" w:hAnsi="Calibri"/>
          <w:color w:val="000000"/>
        </w:rPr>
        <w:t> </w:t>
      </w:r>
    </w:p>
    <w:p w14:paraId="73CF3478" w14:textId="77777777" w:rsidR="0011459E" w:rsidRDefault="0011459E" w:rsidP="0011459E">
      <w:pPr>
        <w:pStyle w:val="BodyText"/>
        <w:numPr>
          <w:ilvl w:val="0"/>
          <w:numId w:val="1"/>
        </w:numPr>
        <w:spacing w:line="240" w:lineRule="auto"/>
        <w:rPr>
          <w:color w:val="000000"/>
          <w:lang w:val="en-IN"/>
        </w:rPr>
      </w:pPr>
      <w:r>
        <w:rPr>
          <w:rFonts w:ascii="Calibri" w:hAnsi="Calibri"/>
          <w:b/>
          <w:bCs/>
          <w:color w:val="000000"/>
        </w:rPr>
        <w:t>POC USERSHIP</w:t>
      </w:r>
    </w:p>
    <w:p w14:paraId="6F1CC651" w14:textId="77777777" w:rsidR="0011459E" w:rsidRDefault="0011459E" w:rsidP="0011459E">
      <w:pPr>
        <w:pStyle w:val="BodyText"/>
        <w:spacing w:line="240" w:lineRule="auto"/>
        <w:ind w:left="720"/>
        <w:rPr>
          <w:lang w:val="en-IN"/>
        </w:rPr>
      </w:pPr>
      <w:r>
        <w:rPr>
          <w:rFonts w:ascii="Calibri" w:hAnsi="Calibri"/>
          <w:b/>
          <w:bCs/>
          <w:color w:val="7030A0"/>
        </w:rPr>
        <w:t>POC USERS: 60%</w:t>
      </w:r>
    </w:p>
    <w:p w14:paraId="3DF112D4" w14:textId="77777777" w:rsidR="0011459E" w:rsidRDefault="0011459E" w:rsidP="0011459E">
      <w:pPr>
        <w:numPr>
          <w:ilvl w:val="0"/>
          <w:numId w:val="2"/>
        </w:numPr>
        <w:contextualSpacing/>
        <w:rPr>
          <w:rFonts w:eastAsia="Times New Roman"/>
          <w:sz w:val="22"/>
          <w:szCs w:val="22"/>
          <w:lang w:val="en-IN"/>
        </w:rPr>
      </w:pPr>
      <w:r>
        <w:rPr>
          <w:rFonts w:eastAsia="Times New Roman"/>
          <w:color w:val="161D21"/>
          <w:sz w:val="22"/>
          <w:szCs w:val="22"/>
        </w:rPr>
        <w:t>Using SMBG Device (Classified as A and B in Phase I at SMBG Cluster level)</w:t>
      </w:r>
    </w:p>
    <w:p w14:paraId="646C1D2A" w14:textId="77777777" w:rsidR="0011459E" w:rsidRDefault="0011459E" w:rsidP="0011459E">
      <w:pPr>
        <w:numPr>
          <w:ilvl w:val="0"/>
          <w:numId w:val="2"/>
        </w:numPr>
        <w:contextualSpacing/>
        <w:rPr>
          <w:rFonts w:eastAsia="Times New Roman"/>
          <w:sz w:val="22"/>
          <w:szCs w:val="22"/>
          <w:lang w:val="en-IN"/>
        </w:rPr>
      </w:pPr>
      <w:r>
        <w:rPr>
          <w:rFonts w:eastAsia="Times New Roman"/>
          <w:color w:val="161D21"/>
          <w:sz w:val="22"/>
          <w:szCs w:val="22"/>
        </w:rPr>
        <w:t>Using POC device in private practice (other than SMBG)</w:t>
      </w:r>
    </w:p>
    <w:p w14:paraId="22A7BF68" w14:textId="77777777" w:rsidR="0011459E" w:rsidRDefault="0011459E" w:rsidP="0011459E">
      <w:pPr>
        <w:pStyle w:val="BodyText"/>
        <w:spacing w:line="240" w:lineRule="auto"/>
        <w:ind w:left="720"/>
        <w:rPr>
          <w:sz w:val="18"/>
          <w:szCs w:val="18"/>
          <w:lang w:val="en-IN"/>
        </w:rPr>
      </w:pPr>
      <w:r>
        <w:rPr>
          <w:rFonts w:ascii="Calibri" w:hAnsi="Calibri"/>
          <w:b/>
          <w:bCs/>
          <w:color w:val="7030A0"/>
        </w:rPr>
        <w:t>POC USERS: 40%</w:t>
      </w:r>
    </w:p>
    <w:p w14:paraId="1866C8E2" w14:textId="77777777" w:rsidR="0011459E" w:rsidRDefault="0011459E" w:rsidP="0011459E">
      <w:pPr>
        <w:numPr>
          <w:ilvl w:val="0"/>
          <w:numId w:val="2"/>
        </w:numPr>
        <w:contextualSpacing/>
        <w:rPr>
          <w:rFonts w:eastAsia="Times New Roman"/>
          <w:color w:val="161D21"/>
          <w:sz w:val="22"/>
          <w:szCs w:val="22"/>
          <w:lang w:val="en-IN"/>
        </w:rPr>
      </w:pPr>
      <w:r>
        <w:rPr>
          <w:rFonts w:eastAsia="Times New Roman"/>
          <w:color w:val="161D21"/>
          <w:sz w:val="22"/>
          <w:szCs w:val="22"/>
        </w:rPr>
        <w:t>Using SMBG Device (Classified as C in Phase I at SMBG cluster level)</w:t>
      </w:r>
    </w:p>
    <w:p w14:paraId="3A35403F" w14:textId="77777777" w:rsidR="0011459E" w:rsidRDefault="0011459E" w:rsidP="0011459E">
      <w:pPr>
        <w:numPr>
          <w:ilvl w:val="0"/>
          <w:numId w:val="2"/>
        </w:numPr>
        <w:contextualSpacing/>
        <w:rPr>
          <w:rFonts w:eastAsia="Times New Roman"/>
          <w:color w:val="161D21"/>
          <w:sz w:val="22"/>
          <w:szCs w:val="22"/>
          <w:lang w:val="en-IN"/>
        </w:rPr>
      </w:pPr>
      <w:r>
        <w:rPr>
          <w:rFonts w:eastAsia="Times New Roman"/>
          <w:color w:val="161D21"/>
          <w:sz w:val="22"/>
          <w:szCs w:val="22"/>
        </w:rPr>
        <w:t>Not using POC device in private practice</w:t>
      </w:r>
    </w:p>
    <w:p w14:paraId="27EE88EE" w14:textId="77777777" w:rsidR="0011459E" w:rsidRDefault="0011459E" w:rsidP="0011459E">
      <w:pPr>
        <w:pStyle w:val="BodyText"/>
        <w:spacing w:line="240" w:lineRule="auto"/>
        <w:ind w:left="720"/>
        <w:rPr>
          <w:sz w:val="18"/>
          <w:szCs w:val="18"/>
          <w:lang w:val="en-IN"/>
        </w:rPr>
      </w:pPr>
      <w:r>
        <w:rPr>
          <w:rFonts w:ascii="Calibri" w:hAnsi="Calibri"/>
          <w:color w:val="000000"/>
        </w:rPr>
        <w:lastRenderedPageBreak/>
        <w:t> </w:t>
      </w:r>
    </w:p>
    <w:p w14:paraId="0507D65A" w14:textId="77777777" w:rsidR="0011459E" w:rsidRDefault="0011459E" w:rsidP="0011459E">
      <w:pPr>
        <w:pStyle w:val="BodyText"/>
        <w:numPr>
          <w:ilvl w:val="0"/>
          <w:numId w:val="1"/>
        </w:numPr>
        <w:spacing w:line="240" w:lineRule="auto"/>
        <w:rPr>
          <w:rFonts w:eastAsia="Times New Roman"/>
          <w:color w:val="000000"/>
          <w:sz w:val="20"/>
          <w:szCs w:val="20"/>
          <w:lang w:val="en-IN"/>
        </w:rPr>
      </w:pPr>
      <w:r>
        <w:rPr>
          <w:rFonts w:ascii="Calibri" w:hAnsi="Calibri"/>
          <w:b/>
          <w:bCs/>
          <w:color w:val="000000"/>
        </w:rPr>
        <w:t>GENDER QUOTA IN METRO AND MINI-METRO EACH</w:t>
      </w:r>
    </w:p>
    <w:p w14:paraId="18B6DD8A" w14:textId="77777777" w:rsidR="0011459E" w:rsidRDefault="0011459E" w:rsidP="0011459E">
      <w:pPr>
        <w:pStyle w:val="BodyText"/>
        <w:spacing w:line="240" w:lineRule="auto"/>
        <w:ind w:left="720"/>
        <w:rPr>
          <w:lang w:val="en-IN"/>
        </w:rPr>
      </w:pPr>
      <w:r>
        <w:rPr>
          <w:rFonts w:ascii="Calibri" w:hAnsi="Calibri"/>
          <w:b/>
          <w:bCs/>
          <w:color w:val="7030A0"/>
        </w:rPr>
        <w:t>MALES: 85%</w:t>
      </w:r>
    </w:p>
    <w:p w14:paraId="3A5DBC5E" w14:textId="77777777" w:rsidR="0011459E" w:rsidRDefault="0011459E" w:rsidP="0011459E">
      <w:pPr>
        <w:pStyle w:val="BodyText"/>
        <w:spacing w:line="240" w:lineRule="auto"/>
        <w:ind w:left="720"/>
        <w:rPr>
          <w:rFonts w:eastAsia="Times New Roman"/>
          <w:lang w:val="en-IN"/>
        </w:rPr>
      </w:pPr>
      <w:r>
        <w:rPr>
          <w:rFonts w:ascii="Calibri" w:hAnsi="Calibri"/>
          <w:b/>
          <w:bCs/>
          <w:color w:val="7030A0"/>
        </w:rPr>
        <w:t>FEMALES: 15%</w:t>
      </w:r>
    </w:p>
    <w:p w14:paraId="63E051AD" w14:textId="77777777" w:rsidR="0011459E" w:rsidRDefault="0011459E"/>
    <w:sectPr w:rsidR="00114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6CE"/>
    <w:multiLevelType w:val="hybridMultilevel"/>
    <w:tmpl w:val="644E6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52A0"/>
    <w:multiLevelType w:val="hybridMultilevel"/>
    <w:tmpl w:val="FB626DAA"/>
    <w:lvl w:ilvl="0" w:tplc="966E79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F560FF9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110690BC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EF8ED98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E4CC18B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3A02BC2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D5189D5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CF047E1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8C24D936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num w:numId="1" w16cid:durableId="1776091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78406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4B"/>
    <w:rsid w:val="00061D72"/>
    <w:rsid w:val="0011459E"/>
    <w:rsid w:val="0072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919C"/>
  <w15:chartTrackingRefBased/>
  <w15:docId w15:val="{7C6D99F7-095F-494A-94C9-44AA82B3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9E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Questionnaire text Char"/>
    <w:basedOn w:val="DefaultParagraphFont"/>
    <w:link w:val="BodyText"/>
    <w:uiPriority w:val="99"/>
    <w:semiHidden/>
    <w:locked/>
    <w:rsid w:val="0011459E"/>
    <w:rPr>
      <w:rFonts w:ascii="Verdana" w:hAnsi="Verdana"/>
      <w:color w:val="000080"/>
    </w:rPr>
  </w:style>
  <w:style w:type="paragraph" w:styleId="BodyText">
    <w:name w:val="Body Text"/>
    <w:aliases w:val="Questionnaire text"/>
    <w:basedOn w:val="Normal"/>
    <w:link w:val="BodyTextChar"/>
    <w:uiPriority w:val="99"/>
    <w:semiHidden/>
    <w:unhideWhenUsed/>
    <w:rsid w:val="0011459E"/>
    <w:pPr>
      <w:overflowPunct w:val="0"/>
      <w:autoSpaceDE w:val="0"/>
      <w:autoSpaceDN w:val="0"/>
      <w:spacing w:line="360" w:lineRule="auto"/>
      <w:jc w:val="both"/>
    </w:pPr>
    <w:rPr>
      <w:rFonts w:ascii="Verdana" w:hAnsi="Verdana" w:cstheme="minorBidi"/>
      <w:color w:val="000080"/>
      <w:kern w:val="2"/>
      <w:sz w:val="22"/>
      <w:szCs w:val="2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11459E"/>
    <w:rPr>
      <w:rFonts w:ascii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2023-09-26T13:06:00Z</dcterms:created>
  <dcterms:modified xsi:type="dcterms:W3CDTF">2023-09-26T13:08:00Z</dcterms:modified>
</cp:coreProperties>
</file>